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 «Индикаторы риска нарушения обязательных  требований»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Ростехнадзора.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20.02.2025.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риска.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энергетический надзор.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приказу Минэнерго России от 30.12.2021 № 1540, индикаторами риска нарушения обязательных требований по федеральному государственному энергетическому надзору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-142" w:right="0" w:firstLine="50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комиссией значения индекса технического состояния объекта технического освидетельствования от «0» </w:t>
      </w:r>
      <w:r>
        <w:rPr>
          <w:rFonts w:ascii="Times New Roman" w:hAnsi="Times New Roman" w:cs="Times New Roman"/>
          <w:sz w:val="24"/>
          <w:szCs w:val="24"/>
        </w:rPr>
        <w:t xml:space="preserve">до «26»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-142" w:right="0" w:firstLine="50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состояния, равного или ниже «25».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-142" w:right="0" w:firstLine="50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более чем на 30 % количества аварий (не менее чем пяти аварий) на электростанции или на объекте электросетевого хозяйства за квартал по сравнению с аналогичным периодом предыдущего календарного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42" w:right="0" w:firstLine="50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едеральн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надзор</w:t>
      </w:r>
      <w:r>
        <w:rPr>
          <w:rFonts w:ascii="Times New Roman" w:hAnsi="Times New Roman" w:cs="Times New Roman"/>
          <w:sz w:val="24"/>
          <w:szCs w:val="24"/>
        </w:rPr>
        <w:t xml:space="preserve"> в области промышленной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индикат</w:t>
      </w:r>
      <w:r>
        <w:rPr>
          <w:rFonts w:ascii="Times New Roman" w:hAnsi="Times New Roman" w:cs="Times New Roman"/>
          <w:sz w:val="24"/>
          <w:szCs w:val="24"/>
        </w:rPr>
        <w:t xml:space="preserve">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Федеральной службы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экологическому, 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атомному надзору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23 ноября 2021 года N 397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в территориальный орган </w:t>
      </w:r>
      <w:r>
        <w:rPr>
          <w:rFonts w:ascii="Times New Roman" w:hAnsi="Times New Roman" w:cs="Times New Roman"/>
          <w:sz w:val="24"/>
          <w:szCs w:val="24"/>
        </w:rPr>
        <w:t xml:space="preserve">Ростехнадзора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трёх и более инцидентах, произошедших на опасном производственном объекте в течение одн</w:t>
      </w:r>
      <w:r>
        <w:rPr>
          <w:rFonts w:ascii="Times New Roman" w:hAnsi="Times New Roman" w:cs="Times New Roman"/>
          <w:sz w:val="24"/>
          <w:szCs w:val="24"/>
        </w:rPr>
        <w:t xml:space="preserve">ого календарного года, в соответствии с порядком проведения технического расследования причин аварий, установленным согласно пункту 8 статьи 12 Федерального закона от 21 июля 1997 г. N 116-ФЗ "О промышленной безопасности опасных производственных объектов"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Наличие в</w:t>
      </w:r>
      <w:r>
        <w:rPr>
          <w:rFonts w:ascii="Times New Roman" w:hAnsi="Times New Roman" w:cs="Times New Roman"/>
          <w:sz w:val="24"/>
          <w:szCs w:val="24"/>
        </w:rPr>
        <w:t xml:space="preserve">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объекте, эксплуатируемом юридическим лицом (индивидуальным предпринимателем), в случае если т</w:t>
      </w:r>
      <w:r>
        <w:rPr>
          <w:rFonts w:ascii="Times New Roman" w:hAnsi="Times New Roman" w:cs="Times New Roman"/>
          <w:sz w:val="24"/>
          <w:szCs w:val="24"/>
        </w:rPr>
        <w:t xml:space="preserve">акое юридическое лицо (индивидуальный предприниматель), эксплуатирует опасные производственные объекты III, IV классов опасности, отнесенные к категории опасных производственных объектов по такому же признаку, как и объект, на котором произошла авария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условии</w:t>
      </w:r>
      <w:r>
        <w:rPr>
          <w:rFonts w:ascii="Times New Roman" w:hAnsi="Times New Roman" w:cs="Times New Roman"/>
          <w:sz w:val="24"/>
          <w:szCs w:val="24"/>
        </w:rPr>
        <w:t xml:space="preserve">, что в отношении таких объектов не проводились контрольные (надзорные) мероприятия в течение 2 лет до даты аварии).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Отсутствие в реестре лицензий сведений о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</w:t>
      </w:r>
      <w:r>
        <w:rPr>
          <w:rFonts w:ascii="Times New Roman" w:hAnsi="Times New Roman" w:cs="Times New Roman"/>
          <w:sz w:val="24"/>
          <w:szCs w:val="24"/>
        </w:rPr>
        <w:t xml:space="preserve"> в течение 4 месяцев с даты регистрации в государственном реестре опасных производственных объектов таким юридическим лицом (индивидуальным предпринимателем) опасного производственного объекта, деятельность по эксплуатации которого подлежит лицензированию.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</w:t>
      </w:r>
      <w:r>
        <w:rPr>
          <w:rFonts w:ascii="Times New Roman" w:hAnsi="Times New Roman" w:cs="Times New Roman"/>
          <w:sz w:val="24"/>
          <w:szCs w:val="24"/>
        </w:rPr>
        <w:t xml:space="preserve">ности об экспертизе промышленной безопасности, проведенной в отношении документации на консервацию или ликвидацию такого объекта (при условии, что в отношении опасного производственного объекта не проводились контрольные (надзорные) мероприятия в течение 2</w:t>
      </w:r>
      <w:r>
        <w:rPr>
          <w:rFonts w:ascii="Times New Roman" w:hAnsi="Times New Roman" w:cs="Times New Roman"/>
          <w:sz w:val="24"/>
          <w:szCs w:val="24"/>
        </w:rPr>
        <w:t xml:space="preserve"> лет до даты внесения сведений об экспертизе в реестр заключений экспертизы промышленной безопасности).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Исключение сведений о юридическом лице (индивидуальном предпринимателе), эксплуатирующем опасный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зводственный объект III, IV класса опасности, сведения о котором содержатся в государственном реестре опасных производственных объектов, из единого государственного реестра юридических лиц (единого государственного реестра индивидуальных предпринимателей).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Отсутствие сведений о заключении экспертизы промышленной безопасности, содержащем срок дальнейшей безопасной эксплуатации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устройства, применяемого на опасном производственном объекте III или IV класса опасности</w:t>
      </w:r>
      <w:r>
        <w:rPr>
          <w:rFonts w:ascii="Times New Roman" w:hAnsi="Times New Roman" w:cs="Times New Roman"/>
          <w:sz w:val="24"/>
          <w:szCs w:val="24"/>
        </w:rPr>
        <w:t xml:space="preserve">, или сведений о выводе из эксплуатации такого технического устройства по истечении года после установленного срока его эксплуатации (при условии, что в течение указанного года в отношении таких объектов не проводились контрольные (надзорные) мероприятия).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</w:t>
      </w:r>
      <w:r>
        <w:rPr>
          <w:rFonts w:ascii="Times New Roman" w:hAnsi="Times New Roman" w:cs="Times New Roman"/>
          <w:sz w:val="24"/>
          <w:szCs w:val="24"/>
        </w:rPr>
        <w:t xml:space="preserve">выводе 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(при условии, что в течение указанного года в отношении объектов не проводились контрольные (надзорные) мероприятия).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Факт выдачи экспе</w:t>
      </w:r>
      <w:r>
        <w:rPr>
          <w:rFonts w:ascii="Times New Roman" w:hAnsi="Times New Roman" w:cs="Times New Roman"/>
          <w:sz w:val="24"/>
          <w:szCs w:val="24"/>
        </w:rPr>
        <w:t xml:space="preserve">ртом в области промышленной безопасности заведомо ложного заключения экспертизы промышленной безопасности в отношении объекта экспертизы заказчика, при наличии в реестре заключений экспертизы промышленной безопасности сведений о заключении экспертизы промы</w:t>
      </w:r>
      <w:r>
        <w:rPr>
          <w:rFonts w:ascii="Times New Roman" w:hAnsi="Times New Roman" w:cs="Times New Roman"/>
          <w:sz w:val="24"/>
          <w:szCs w:val="24"/>
        </w:rPr>
        <w:t xml:space="preserve">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</w:t>
      </w:r>
      <w:r>
        <w:rPr>
          <w:rFonts w:ascii="Times New Roman" w:hAnsi="Times New Roman" w:cs="Times New Roman"/>
          <w:sz w:val="24"/>
          <w:szCs w:val="24"/>
        </w:rPr>
        <w:t xml:space="preserve">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(для опасных производственных объектов III или IV класса опасности, при условии, что в отношении таких объектов не проводились контрольные (надзорные) мероприятия после выдачи заключения экспертизы, признанного заведомо ложным).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Непоступление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в территориальный орган </w:t>
      </w:r>
      <w:r>
        <w:rPr>
          <w:rFonts w:ascii="Times New Roman" w:hAnsi="Times New Roman" w:cs="Times New Roman"/>
          <w:sz w:val="24"/>
          <w:szCs w:val="24"/>
        </w:rPr>
        <w:t xml:space="preserve">Ростехнадзора</w:t>
      </w:r>
      <w:r>
        <w:rPr>
          <w:rFonts w:ascii="Times New Roman" w:hAnsi="Times New Roman" w:cs="Times New Roman"/>
          <w:sz w:val="24"/>
          <w:szCs w:val="24"/>
        </w:rPr>
        <w:t xml:space="preserve"> 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</w:t>
      </w:r>
      <w:r>
        <w:rPr>
          <w:rFonts w:ascii="Times New Roman" w:hAnsi="Times New Roman" w:cs="Times New Roman"/>
          <w:sz w:val="24"/>
          <w:szCs w:val="24"/>
        </w:rPr>
        <w:t xml:space="preserve"> или заменой технических устройств на указанных объектах, требованиям промышленной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(при условии отсутствия информации о </w:t>
      </w:r>
      <w:r>
        <w:rPr>
          <w:rFonts w:ascii="Times New Roman" w:hAnsi="Times New Roman" w:cs="Times New Roman"/>
          <w:sz w:val="24"/>
          <w:szCs w:val="24"/>
        </w:rPr>
        <w:t xml:space="preserve">непроведении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перевооружения на объекте).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Федеральный государственный  надзор в области безопасности гидротехнических сооружений (за исключением портовых и судоходных гидротехнических сооружений)</w:t>
      </w:r>
      <w:r>
        <w:rPr>
          <w:sz w:val="24"/>
          <w:szCs w:val="24"/>
          <w:u w:val="none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Приказ Ростехнадзора от 20.07.2023 N 268 "Об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ртовых и судоходных гидротехнических сооружений)" 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Фиксация должностным лицом Ростехнадзора при рассмотрении декларации безопасности поднадзорного гидротехнического сооружения превышения по трем или более критериям безопасности гидротехнического сооружения, утверждаемым в составе декларации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гидротехнического сооружения в соответствии с </w:t>
      </w:r>
      <w:hyperlink r:id="rId9" w:tooltip="https://login.consultant.ru/link/?req=doc&amp;base=LAW&amp;n=470686&amp;dst=100028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подпунктом "г" пункта 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&lt;1&gt;, предельных значений количественных показателей состояния гидротехнического сооружения, 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ответствующих допустимому уровню риска аварии гидротехнического сооружения.</w:t>
        <w:br/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Фиксация должностным лицом Ростехнадзора на основании открытых данных о фактических уровнях воды в водохранилищах, образованных поднадзорными гидротехническими сооружениями, публикуемых на сайтах Федерального агентства водных ресурсов либо поднадзорных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организаций в информационно-телекоммуникационной сети "Интернет", превышения в течение более 30 дней подряд со дня его возникновения нормального подпорного уровня, установленного проектной документацией, на величину более тридцати процентов расстояния межд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нормальным подпорным уровнем и форсированным подпорным уровнем.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Выявление должностным лицом Ростехнадзора факта понижения уровня воды 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мертвого объема,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становленными проектной документацией для данного гидротехнического сооружения.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Выявление должностным лицом Ростехнадзора факта смены эксплуатирующей гидротехническое сооружение организации и непоступление от новой эксплуатирующей гидротехническое сооружение организации в Ростехнадзор либо его территориальный орган заявления о пров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едении преддекларационного обследования гидротехнического сооружения в течение трех месяцев с даты смены эксплуатирующей гидротехническое сооружение организации.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17.02.2023 N 72 (ред. от 15.10.2024)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 xml:space="preserve">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 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Отсутствие сведений о выводе отработавшего назначенный срок службы &lt;1&gt; лифта, подъемной платформы для инвалидов, пассажирского конвейера (движущейся пешеходной дорожки) или эскалатора, за исключением эскалаторов в метрополитенах (далее - опасное техниче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ское устройство здания и сооружения), из эксплуатации (за исключением устройств, установленных в многоквартирных домах), свидетельствующих о прекращении его использования в связи с демонтажем или с целью последующего проведения модернизации, более 30 кален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дарных дней с даты истечения назначенного срока службы соответствующего устройства.</w:t>
        <w:br/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Отсутствие в реестре опасных технических устройств здания и сооружения &lt;2&gt; сведений об опасном техническом устройстве здания и сооружения, установленном на объекте капитального строительства, более 20 рабочих дней со дня ввода такого объекта капитальног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строительства в эксплуатацию.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Отсутствие сведений о выводе отработавшего назначенный срок службы </w:t>
      </w:r>
      <w:hyperlink r:id="rId10" w:tooltip="file:///C:/Program%20Files/R7-Office/Editors/editors/web-apps/apps/documenteditor/main/index.html?_dc=0&amp;lang=ru-RU&amp;frameEditorId=placeholder&amp;parentOrigin=file://#p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установленного в многоквартирном доме опасного технического устройства здания и сооружения из эксплуатации, свидетельствующих о прекращении его использования в связи с демонтажем или с целью последующего проведения модернизации, более 30 календарных дне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с даты истечения назначенного срока службы соответствующего устройства.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Поступление в Федеральную службу по экологическому, технологическому и атомному надзору и (или) ее территориальные органы трех и более обращений граждан, содержащих сведения об увеличенной нагрузке на лифт в связи с выводом из эксплуатации иных лифтов,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размещенных в одном подъезде многоквартирного дома, в течение 6 месяцев подряд со дня поступления первого из таких обращений.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Поступление в Федеральную службу по экологическому, технологическому и атомному надзору и (или) ее территориальные органы двух и более обращений граждан, организаций, органов государственной власти, органов местного самоуправления, содержащих сведения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 эксплуатации лифта при указании одного из следующих фактов: подтеки масла в кабине, нарушение ритма и (или) равномерности движения кабины (в том числе рывки, резкое ускорение), непреднамеренные удары при движении кабины, горизонтальное покачивание кабины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 течение месяца со дня поступления первого из таких обращений.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20.06.2023 N 227 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</w:t>
      </w:r>
      <w:r>
        <w:rPr>
          <w:rFonts w:ascii="Times New Roman" w:hAnsi="Times New Roman" w:cs="Times New Roman"/>
          <w:sz w:val="24"/>
          <w:szCs w:val="24"/>
        </w:rPr>
        <w:t xml:space="preserve">я" 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Поступление в Ростехнадзор заявления о предоставлении лицензии (внесении изменений в реестр лицензий), содержащего информацию о работнике соискателя лицензии (лицензиата) &lt;1&gt;, который является ответственным за осуществление лицензируемого вида деятельно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 в двух и более организациях.</w:t>
        <w:br/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Поступление в территориальный орган Ростехнадзора заявления от лицензиата на получение разрешения на ведение работ со взрывчатыми материалами промышленного назначения, содержащего информацию о работнике, осуществляющем руководство взрывными работами,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случае если такой работник заявлен как руководитель взрывных работ в действующем разрешении на ведение взрывных работ, полученном иным лицензиатом, при отсутствии заявления о переоформлении такого разрешения.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Отсутствие в течение календарного года со дня предоставления лицензии или со дня окончания срока действия имеющегося разрешения на ведение работ со взрывчатыми материалами промышленного назначения поступивших от лицензиата, осуществляющего применение вз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рывчатых материалов промышленного назначения (в качестве вида работ, составляющего лицензируемый вид деятельности), заявлений о получении разрешения на ведение работ со взрывчатыми материалами промышленного назначения.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Поступление в соответствии с порядком проведения технического расследования причин аварий, установленным согласно </w:t>
      </w:r>
      <w:hyperlink r:id="rId11" w:tooltip="https://login.consultant.ru/link/?req=doc&amp;base=LAW&amp;n=466788&amp;dst=16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пункту 8 статьи 12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от 21 июля 1997 г. N 116-ФЗ "О промышленной безопасности опасных производственных объектов", информации о трех и более инцидентах, произошедших на опасных производственных объектах при осуществлении лицензиатом деятельности, связанной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обращением взрывчатых материалов промышленного назначения, в течение одного календарного года в случае, если такие инциденты не привели к причинению вреда (ущерба) охраняемым законом ценностям &lt;2&gt; (при условии, что по факту поступления указанной информац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ии не проводилось контрольное (надзорное) мероприятие в отношении лицензиата, эксплуатирующего опасный производственный объект, в рамках федерального государственного надзора в области промышленной безопасности).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13.07.2023 N 252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производством маркшейдерских работ" 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Факт предоставления пользователем недр (лицензиатом) плана и (или) схемы развития горных работ (пояснительной записки к плану и (или) схеме развития горных работ) (далее - ПРГР), содержащих сведения о специалисте, состоящем у этого пользователя недр (ли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цензиата) в должности главного маркшейдера организации, при наличии в представленной (в течение 90 календарных дней с даты предоставления ПРГР) иным пользователем недр (лицензиатом) документации сведений о том же специалисте, состоящем у него в должности 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лавного маркшейдера организации.</w:t>
        <w:br/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Поступление в лицензирующий орган заявления о предоставлении лицензии (внесении изменений в реестр лицензий) на производство маркшейдерских работ от соискателя лицензии (лицензиата), технические средства измерений и оборудование для обработки результато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измерений и средств измерений которого, необходимые для производства маркшейдерских работ, принадлежат на праве собственности или ином законном основании иному лицензиату (при условии отсутствия в лицензирующем органе направленного таким лицензиатом заяв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ления о внесении изменений в реестр лицензий производства маркшейдерских работ в связи с прекращением деятельности по производству маркшейдерских работ).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Поступление в лицензирующий орган от соискателя лицензии (лицензиата) заявления о предоставлении лицензии на производство маркшейдерских работ (о внесении изменений в реестр лицензий), содержащего сведения о работнике на должности главного маркшейдера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рганизации, который ранее был заявлен как работник на должности главного маркшейдера организации иного лицензиата, при условии отсутствия в лицензирующем органе сведений о назначении иного работника на должность главного маркшейдера организации у лицензиат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либо заявления о прекращении деятельности по производству маркшейдерских работ.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Отсутствие в пояснительной записке плана и (или) схемы развития горных работ пользователя недр (лицензиата), представленной в лицензирующий орган, сведений о специалистах маркшейдерской службы пользователя недр (лицензиата) и (или) специалистах, осущест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вляющих маркшейдерские работы по договору с пользователем недр (лицензиатом), а также сведений об их образовании, квалификации, повышении квалификации, аттестации по промышленной безопасности, общем стаже работы по специальности &lt;1&gt;.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22.06.2023 N 231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при осуществлении федерального государственного горного надзора" 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Выявление органом государственного горного надзора по истечении 2-х месяцев со дня начала разработки месторождения, указанного в лицензии на пользование недрами, факта отсутствия планов развития горных работ при наличии у юридического лица, индивидуальн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предпринимателя лицензии на пользование недрами в пределах данного месторождения в случае, если обязанность по использованию участка недр в течение срока, предусмотренного для разработки данного месторождения, установлена проектной документацией на раз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работку месторождения.</w:t>
        <w:br/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Непоступление от пользователя недр в орган государственного горного надзора заявления на переоформление документов, удостоверяющих уточненные границы горного отвода, по истечении 90 дней с даты внесения изменений в соответствующую лицензию по основаниям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изменения границ участка недр.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Непоступление от пользователя недр в орган государственного горного надзора заявления о согласовании планов и схем развития горных работ вне графика в соответствии с </w:t>
      </w:r>
      <w:hyperlink r:id="rId12" w:tooltip="https://login.consultant.ru/link/?req=doc&amp;base=LAW&amp;n=471235&amp;dst=100027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абзацем третьим пункта 13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Правил подготовки, рассмотрения и согласования планов и схем развития горных работ по видам полезных ископаемых, утвержденных постановлением Правительства Российской Федерации от 16 сентября 2020 г. N 1466, по истечении 90 календарных дней с даты получени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лицензии на пользование недрами.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Увеличение за календарный год объема добычи полезных ископаемых на величину, отличающуюся более чем на 30% от установленной в плане развития горных работ, при условии наличия действующей лицензии на пользование недрами, изменения в которую не вносились,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отсутствия ранее поданного заявления о внесении изменений (дополнений) в план развития горных работ.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17.05.2023 N 185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за деятельностью по проведению экспертизы промышленной безопасности" 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Трехкратный и более рост количества заключений экспертизы промышленной безопасности, внесенных в реестр заключений экспертизы промышленной безопасности (далее - Реестр), предусмотренный </w:t>
      </w:r>
      <w:hyperlink r:id="rId13" w:tooltip="https://login.consultant.ru/link/?req=doc&amp;base=LAW&amp;n=466788&amp;dst=367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абзацем первым пункта 7 статьи 13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от 21 июля 1997 г. N 116-ФЗ "О промышленной безопасности опасных производственных объектов" (далее - Федеральный закон N 116-ФЗ), за календарный год по сравнению с аналогичным предыдущим периодом при условии отсутствия изменений в зако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нодательстве Российской Федерации в области промышленной безопасности, способствующих увеличению количества объектов экспертизы промышленной безопасности.</w:t>
        <w:br/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Наличие в Реестре информации о двух и более решениях об отказе во внесении в Реестр, принятых в отношении заключений экспертизы промышленной безопасности, подготовленных одной экспертной организацией за 6 месяцев (при условии, что указанные решения не 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ыли обжалованы с принятием по результатам рассмотрения соответствующих жалоб решений об их удовлетворении в соответствии с </w:t>
      </w:r>
      <w:hyperlink r:id="rId14" w:tooltip="https://login.consultant.ru/link/?req=doc&amp;base=LAW&amp;n=300316&amp;dst=12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 2012 г. N 840), по одному из следующих оснований: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представление в составе комплекта заявительных документов заключения экспертизы промышленной безопасности, подписанного экспертом (экспертами), не аттестованным (не аттестованными) в соответствии с </w:t>
      </w:r>
      <w:hyperlink r:id="rId15" w:tooltip="https://login.consultant.ru/link/?req=doc&amp;base=LAW&amp;n=471409&amp;dst=100013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 аттестации экспертов в области промышленной безопасности, утвержденным постановлением Правительства Российской Федерации от 2 июня 2022 г. N 1009, или прошедшим (прошедшими) такую аттестацию, но имеющим (имеющими) квалификационное удостоверение эксперт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(квалификационные удостоверения экспертов) в области промышленной безопасности по области (областям) аттестации экспертов в области промышленной безопасности, действие которой (которых) не распространяется на объект экспертизы промышленной безопасности,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(или) являющимся (являющимися) экспертом (экспертами) в области промышленной безопасности иной категории &lt;1&gt;;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представление в составе комплекта заявительных документов заключения экспертизы промышленной безопасности, проведенной не в отношении объектов экспертизы, установленных </w:t>
      </w:r>
      <w:hyperlink r:id="rId16" w:tooltip="https://login.consultant.ru/link/?req=doc&amp;base=LAW&amp;n=466788&amp;dst=132&amp;field=134&amp;date=17.02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статьи 13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N 116-ФЗ &lt;2&gt;.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Представление заявителем при предоставлении государственной услуги по лицензированию деятельности по проведению экспертизы промышленной безопасности в составе заявительных документов информации об эксперте в области промышленной безопасности, для которо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 работа в этой организации является основной, если сведения о нем были ранее представлены другой организацией, которой государственная услуга была предоставлена в течение 6 месяцев, предшествующих дате повторного представления информации об указанном экс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перте (применяется для лицензиата, ранее представившего сведения о таком эксперте в рамках подтверждения своего соответствия лицензионным требованиям, при условии представления лицензиатом сведений о наличии у него в штате минимально допустимого количества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экспертов в области промышленной безопасности, а также непроведения в отношении него контрольных (надзорных) мероприятий в указанный период).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Отсутствие в Реестре заключений экспертизы промышленной безопасности, оформленных экспертной организацией в течение года после даты последнего внесения в Реестр заключения, оформленного данной организацией, или двух лет с даты предоставления ей лицензии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 осуществление соответствующего вида деятельности.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Исключение территориальными органами Ростехнадзора в течение календарного года трех и более подготовленных экспертной организацией (лицензиатом) заключений экспертизы промышленной безопасности из Реестра по результатам рассмотрения представленных заказч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иком (заказчиками) экспертизы промышленной безопасности, осуществляющим (осуществляющими) деятельность в области промышленной безопасности, заявлений об исключении заключения экспертизы промышленной безопасности из Реестра, связанных с обнаружением несоотв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етствия таких заключений требованиям законодательства Российской Федерации &lt;3&gt;.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Фиксация должностным лицом Ростехнадзора факта аварии, произошедшей на опасном производственном объекте в связи с техническим состоянием объекта экспертизы промышленной безопасности (технического устройства, здания или сооружения), в отношении которого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экспертной организацией подготовлено заключение экспертизы промышленной безопасности, содержащее вывод о соответствии объекта экспертизы промышленной безопасности требованиям в области промышленной безопасности, при одновременном соблюдении следующих услов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ий: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истечение не более трех лет с даты оформления данного заключения экспертизы промышленной безопасности;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отсутствие в числе причин аварии, указанных в акте технического расследования причин аварии на опасном производственном объекте, нарушений организацией, эксплуатирующей объект экспертизы промышленной безопасности, указаний по его эксплуатации, предусмотрен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 проектной, технической и эксплуатационной документацией, а также информации об изменении технического состояния такого объекта вследствие действий третьих лиц.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70686&amp;dst=100028&amp;field=134&amp;date=17.02.2025" TargetMode="External"/><Relationship Id="rId10" Type="http://schemas.openxmlformats.org/officeDocument/2006/relationships/hyperlink" Target="file:///C:/Program%20Files/R7-Office/Editors/editors/web-apps/apps/documenteditor/main/index.html?_dc=0&amp;lang=ru-RU&amp;frameEditorId=placeholder&amp;parentOrigin=file://#p3" TargetMode="External"/><Relationship Id="rId11" Type="http://schemas.openxmlformats.org/officeDocument/2006/relationships/hyperlink" Target="https://login.consultant.ru/link/?req=doc&amp;base=LAW&amp;n=466788&amp;dst=16&amp;field=134&amp;date=17.02.2025" TargetMode="External"/><Relationship Id="rId12" Type="http://schemas.openxmlformats.org/officeDocument/2006/relationships/hyperlink" Target="https://login.consultant.ru/link/?req=doc&amp;base=LAW&amp;n=471235&amp;dst=100027&amp;field=134&amp;date=17.02.2025" TargetMode="External"/><Relationship Id="rId13" Type="http://schemas.openxmlformats.org/officeDocument/2006/relationships/hyperlink" Target="https://login.consultant.ru/link/?req=doc&amp;base=LAW&amp;n=466788&amp;dst=367&amp;field=134&amp;date=17.02.2025" TargetMode="External"/><Relationship Id="rId14" Type="http://schemas.openxmlformats.org/officeDocument/2006/relationships/hyperlink" Target="https://login.consultant.ru/link/?req=doc&amp;base=LAW&amp;n=300316&amp;dst=12&amp;field=134&amp;date=17.02.2025" TargetMode="External"/><Relationship Id="rId15" Type="http://schemas.openxmlformats.org/officeDocument/2006/relationships/hyperlink" Target="https://login.consultant.ru/link/?req=doc&amp;base=LAW&amp;n=471409&amp;dst=100013&amp;field=134&amp;date=17.02.2025" TargetMode="External"/><Relationship Id="rId16" Type="http://schemas.openxmlformats.org/officeDocument/2006/relationships/hyperlink" Target="https://login.consultant.ru/link/?req=doc&amp;base=LAW&amp;n=466788&amp;dst=132&amp;field=134&amp;date=17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Крушельницкая</dc:creator>
  <cp:lastModifiedBy>KKrushelnickaya</cp:lastModifiedBy>
  <cp:revision>3</cp:revision>
  <dcterms:created xsi:type="dcterms:W3CDTF">2024-07-29T06:22:00Z</dcterms:created>
  <dcterms:modified xsi:type="dcterms:W3CDTF">2025-02-17T02:49:46Z</dcterms:modified>
</cp:coreProperties>
</file>